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4E80CAEB">
      <w:pPr>
        <w:pStyle w:val="style0"/>
        <w:spacing w:lineRule="exact" w:line="580"/>
        <w:ind w:firstLine="720" w:firstLineChars="200"/>
        <w:jc w:val="center"/>
        <w:rPr>
          <w:rFonts w:ascii="方正小标宋简体" w:cs="Times New Roman" w:eastAsia="方正小标宋简体" w:hAnsi="Times New Roman"/>
          <w:bCs/>
          <w:sz w:val="36"/>
          <w:szCs w:val="36"/>
        </w:rPr>
      </w:pPr>
      <w:r>
        <w:rPr>
          <w:rFonts w:ascii="方正小标宋简体" w:cs="Times New Roman" w:eastAsia="方正小标宋简体" w:hAnsi="Times New Roman" w:hint="eastAsia"/>
          <w:bCs/>
          <w:sz w:val="36"/>
          <w:szCs w:val="36"/>
        </w:rPr>
        <w:t>沈阳化工大学基建管理办公室职能介绍</w:t>
      </w:r>
    </w:p>
    <w:p w14:paraId="58967D86">
      <w:pPr>
        <w:pStyle w:val="style0"/>
        <w:spacing w:lineRule="exact" w:line="580"/>
        <w:ind w:firstLine="720" w:firstLineChars="200"/>
        <w:jc w:val="center"/>
        <w:rPr>
          <w:rFonts w:ascii="方正小标宋简体" w:cs="Times New Roman" w:eastAsia="方正小标宋简体" w:hAnsi="Times New Roman" w:hint="eastAsia"/>
          <w:bCs/>
          <w:sz w:val="36"/>
          <w:szCs w:val="36"/>
        </w:rPr>
      </w:pPr>
    </w:p>
    <w:p w14:paraId="08259C2C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/>
          <w:sz w:val="32"/>
          <w:szCs w:val="32"/>
        </w:rPr>
      </w:pPr>
      <w:r>
        <w:rPr>
          <w:rFonts w:ascii="仿宋_GB2312" w:cs="Times New Roman" w:eastAsia="仿宋_GB2312" w:hAnsi="Times New Roman" w:hint="eastAsia"/>
          <w:sz w:val="32"/>
          <w:szCs w:val="32"/>
        </w:rPr>
        <w:t>沈阳化工大学</w:t>
      </w:r>
      <w:r>
        <w:rPr>
          <w:rFonts w:ascii="仿宋_GB2312" w:cs="Times New Roman" w:eastAsia="仿宋_GB2312" w:hAnsi="Times New Roman" w:hint="eastAsia"/>
          <w:sz w:val="32"/>
          <w:szCs w:val="32"/>
        </w:rPr>
        <w:t>基建管理办公室</w:t>
      </w:r>
      <w:r>
        <w:rPr>
          <w:rFonts w:ascii="仿宋_GB2312" w:cs="Times New Roman" w:eastAsia="仿宋_GB2312" w:hAnsi="Times New Roman"/>
          <w:sz w:val="32"/>
          <w:szCs w:val="32"/>
        </w:rPr>
        <w:t>是学校基本建设归口管理职能部门，核心职责：</w:t>
      </w:r>
      <w:r>
        <w:rPr>
          <w:rFonts w:ascii="仿宋_GB2312" w:cs="Times New Roman" w:eastAsia="仿宋_GB2312" w:hAnsi="Times New Roman" w:hint="eastAsia"/>
          <w:sz w:val="32"/>
          <w:szCs w:val="32"/>
        </w:rPr>
        <w:t>贯彻执行国家基本建设相关法律法规、方针政策和行业规范，严格按照基本建设程序开展学校校园基建工作</w:t>
      </w:r>
      <w:r>
        <w:rPr>
          <w:rFonts w:ascii="仿宋_GB2312" w:cs="Times New Roman" w:eastAsia="仿宋_GB2312" w:hAnsi="Times New Roman" w:hint="eastAsia"/>
          <w:sz w:val="32"/>
          <w:szCs w:val="32"/>
        </w:rPr>
        <w:t>，</w:t>
      </w:r>
      <w:r>
        <w:rPr>
          <w:rFonts w:ascii="仿宋_GB2312" w:cs="Times New Roman" w:eastAsia="仿宋_GB2312" w:hAnsi="Times New Roman"/>
          <w:sz w:val="32"/>
          <w:szCs w:val="32"/>
        </w:rPr>
        <w:t>统筹校园规划、全过程管理新建/改扩建/大型修缮项目、严控质量/安全/进度/投资、档案与资产移交、制度与廉政建设。</w:t>
      </w:r>
    </w:p>
    <w:p w14:paraId="5CD0B1B5">
      <w:pPr>
        <w:pStyle w:val="style0"/>
        <w:spacing w:lineRule="exact" w:line="580"/>
        <w:ind w:firstLine="640" w:firstLineChars="200"/>
        <w:rPr>
          <w:rFonts w:ascii="黑体" w:cs="Times New Roman" w:eastAsia="黑体" w:hAnsi="黑体"/>
          <w:sz w:val="32"/>
          <w:szCs w:val="32"/>
        </w:rPr>
      </w:pPr>
      <w:r>
        <w:rPr>
          <w:rFonts w:ascii="黑体" w:cs="Times New Roman" w:eastAsia="黑体" w:hAnsi="黑体"/>
          <w:sz w:val="32"/>
          <w:szCs w:val="32"/>
        </w:rPr>
        <w:t xml:space="preserve"> </w:t>
      </w:r>
      <w:r>
        <w:rPr>
          <w:rFonts w:ascii="黑体" w:cs="Times New Roman" w:eastAsia="黑体" w:hAnsi="黑体" w:hint="eastAsia"/>
          <w:sz w:val="32"/>
          <w:szCs w:val="32"/>
        </w:rPr>
        <w:t>一、政策与规划管理</w:t>
      </w:r>
    </w:p>
    <w:p w14:paraId="6DE41050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/>
          <w:sz w:val="32"/>
          <w:szCs w:val="32"/>
        </w:rPr>
      </w:pPr>
      <w:r>
        <w:rPr>
          <w:rFonts w:ascii="仿宋_GB2312" w:cs="Times New Roman" w:eastAsia="仿宋_GB2312" w:hAnsi="Times New Roman"/>
          <w:sz w:val="32"/>
          <w:szCs w:val="32"/>
        </w:rPr>
        <w:t>贯彻国家及地方基建法规、政策，制定校内基建管理制度与流程。</w:t>
      </w:r>
    </w:p>
    <w:p w14:paraId="6152C013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/>
          <w:sz w:val="32"/>
          <w:szCs w:val="32"/>
        </w:rPr>
      </w:pPr>
      <w:r>
        <w:rPr>
          <w:rFonts w:ascii="仿宋_GB2312" w:cs="Times New Roman" w:eastAsia="仿宋_GB2312" w:hAnsi="Times New Roman"/>
          <w:sz w:val="32"/>
          <w:szCs w:val="32"/>
        </w:rPr>
        <w:t>组织编制、修订校园总体规划及年度基建计划，报学校审议与上级审批。</w:t>
      </w:r>
    </w:p>
    <w:p w14:paraId="0AB8FE62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 w:hint="eastAsia"/>
          <w:sz w:val="32"/>
          <w:szCs w:val="32"/>
        </w:rPr>
      </w:pPr>
      <w:r>
        <w:rPr>
          <w:rFonts w:ascii="仿宋_GB2312" w:cs="Times New Roman" w:eastAsia="仿宋_GB2312" w:hAnsi="Times New Roman"/>
          <w:sz w:val="32"/>
          <w:szCs w:val="32"/>
        </w:rPr>
        <w:t>负责基建项目立项、可</w:t>
      </w:r>
      <w:r>
        <w:rPr>
          <w:rFonts w:ascii="仿宋_GB2312" w:cs="Times New Roman" w:eastAsia="仿宋_GB2312" w:hAnsi="Times New Roman"/>
          <w:sz w:val="32"/>
          <w:szCs w:val="32"/>
        </w:rPr>
        <w:t>研</w:t>
      </w:r>
      <w:r>
        <w:rPr>
          <w:rFonts w:ascii="仿宋_GB2312" w:cs="Times New Roman" w:eastAsia="仿宋_GB2312" w:hAnsi="Times New Roman"/>
          <w:sz w:val="32"/>
          <w:szCs w:val="32"/>
        </w:rPr>
        <w:t>、报批报建（规划、用地、消防、施工许可等）。</w:t>
      </w:r>
    </w:p>
    <w:p w14:paraId="04BC7E7A">
      <w:pPr>
        <w:pStyle w:val="style0"/>
        <w:spacing w:lineRule="exact" w:line="580"/>
        <w:ind w:firstLine="640" w:firstLineChars="200"/>
        <w:rPr>
          <w:rFonts w:ascii="黑体" w:cs="Times New Roman" w:eastAsia="黑体" w:hAnsi="黑体" w:hint="eastAsia"/>
          <w:sz w:val="32"/>
          <w:szCs w:val="32"/>
        </w:rPr>
      </w:pPr>
      <w:r>
        <w:rPr>
          <w:rFonts w:ascii="黑体" w:cs="Times New Roman" w:eastAsia="黑体" w:hAnsi="黑体" w:hint="eastAsia"/>
          <w:sz w:val="32"/>
          <w:szCs w:val="32"/>
        </w:rPr>
        <w:t>二、项目前期管理</w:t>
      </w:r>
    </w:p>
    <w:p w14:paraId="4E4CC4CB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/>
          <w:sz w:val="32"/>
          <w:szCs w:val="32"/>
        </w:rPr>
      </w:pPr>
      <w:r>
        <w:rPr>
          <w:rFonts w:ascii="仿宋_GB2312" w:cs="Times New Roman" w:eastAsia="仿宋_GB2312" w:hAnsi="Times New Roman"/>
          <w:sz w:val="32"/>
          <w:szCs w:val="32"/>
        </w:rPr>
        <w:t>组织项目可行性论证、方案设计、初步设计与概算编制及评审。</w:t>
      </w:r>
    </w:p>
    <w:p w14:paraId="72267B9B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/>
          <w:sz w:val="32"/>
          <w:szCs w:val="32"/>
        </w:rPr>
      </w:pPr>
      <w:r>
        <w:rPr>
          <w:rFonts w:ascii="仿宋_GB2312" w:cs="Times New Roman" w:eastAsia="仿宋_GB2312" w:hAnsi="Times New Roman"/>
          <w:sz w:val="32"/>
          <w:szCs w:val="32"/>
        </w:rPr>
        <w:t>管理勘察、设计单位招标与合同，把</w:t>
      </w:r>
      <w:r>
        <w:rPr>
          <w:rFonts w:ascii="仿宋_GB2312" w:cs="Times New Roman" w:eastAsia="仿宋_GB2312" w:hAnsi="Times New Roman"/>
          <w:sz w:val="32"/>
          <w:szCs w:val="32"/>
        </w:rPr>
        <w:t>控设计</w:t>
      </w:r>
      <w:r>
        <w:rPr>
          <w:rFonts w:ascii="仿宋_GB2312" w:cs="Times New Roman" w:eastAsia="仿宋_GB2312" w:hAnsi="Times New Roman"/>
          <w:sz w:val="32"/>
          <w:szCs w:val="32"/>
        </w:rPr>
        <w:t>质量、进度与限额设计。</w:t>
      </w:r>
    </w:p>
    <w:p w14:paraId="2424ECC6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 w:hint="eastAsia"/>
          <w:sz w:val="32"/>
          <w:szCs w:val="32"/>
        </w:rPr>
      </w:pPr>
      <w:r>
        <w:rPr>
          <w:rFonts w:ascii="仿宋_GB2312" w:cs="Times New Roman" w:eastAsia="仿宋_GB2312" w:hAnsi="Times New Roman"/>
          <w:sz w:val="32"/>
          <w:szCs w:val="32"/>
        </w:rPr>
        <w:t>办理规划许可、用地许可、施工图审查、消防人防等报建手续。</w:t>
      </w:r>
    </w:p>
    <w:p w14:paraId="7BA60D02">
      <w:pPr>
        <w:pStyle w:val="style0"/>
        <w:spacing w:lineRule="exact" w:line="580"/>
        <w:ind w:firstLine="640" w:firstLineChars="200"/>
        <w:rPr>
          <w:rFonts w:ascii="黑体" w:cs="Times New Roman" w:eastAsia="黑体" w:hAnsi="黑体" w:hint="eastAsia"/>
          <w:sz w:val="32"/>
          <w:szCs w:val="32"/>
        </w:rPr>
      </w:pPr>
      <w:r>
        <w:rPr>
          <w:rFonts w:ascii="黑体" w:cs="Times New Roman" w:eastAsia="黑体" w:hAnsi="黑体" w:hint="eastAsia"/>
          <w:sz w:val="32"/>
          <w:szCs w:val="32"/>
        </w:rPr>
        <w:t>三、招标采购与合同管理</w:t>
      </w:r>
    </w:p>
    <w:p w14:paraId="2C4E0B8D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/>
          <w:sz w:val="32"/>
          <w:szCs w:val="32"/>
        </w:rPr>
      </w:pPr>
      <w:r>
        <w:rPr>
          <w:rFonts w:ascii="仿宋_GB2312" w:cs="Times New Roman" w:eastAsia="仿宋_GB2312" w:hAnsi="Times New Roman"/>
          <w:sz w:val="32"/>
          <w:szCs w:val="32"/>
        </w:rPr>
        <w:t>组织勘察、设计、施工、监理、造价咨询采购。</w:t>
      </w:r>
    </w:p>
    <w:p w14:paraId="491DE395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/>
          <w:sz w:val="32"/>
          <w:szCs w:val="32"/>
        </w:rPr>
      </w:pPr>
      <w:r>
        <w:rPr>
          <w:rFonts w:ascii="仿宋_GB2312" w:cs="Times New Roman" w:eastAsia="仿宋_GB2312" w:hAnsi="Times New Roman"/>
          <w:sz w:val="32"/>
          <w:szCs w:val="32"/>
        </w:rPr>
        <w:t>起草、审核、签订基建类合同，履行合同履约、变更、索赔与结算管理。</w:t>
      </w:r>
    </w:p>
    <w:p w14:paraId="07679C3E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 w:hint="eastAsia"/>
          <w:sz w:val="32"/>
          <w:szCs w:val="32"/>
        </w:rPr>
      </w:pPr>
      <w:r>
        <w:rPr>
          <w:rFonts w:ascii="仿宋_GB2312" w:cs="Times New Roman" w:eastAsia="仿宋_GB2312" w:hAnsi="Times New Roman"/>
          <w:sz w:val="32"/>
          <w:szCs w:val="32"/>
        </w:rPr>
        <w:t>审核工程款支付，配合财务、审计做好资金与造价控制。</w:t>
      </w:r>
    </w:p>
    <w:p w14:paraId="66ED830F">
      <w:pPr>
        <w:pStyle w:val="style0"/>
        <w:spacing w:lineRule="exact" w:line="580"/>
        <w:ind w:firstLine="640" w:firstLineChars="200"/>
        <w:rPr>
          <w:rFonts w:ascii="黑体" w:cs="Times New Roman" w:eastAsia="黑体" w:hAnsi="黑体" w:hint="eastAsia"/>
          <w:sz w:val="32"/>
          <w:szCs w:val="32"/>
        </w:rPr>
      </w:pPr>
      <w:r>
        <w:rPr>
          <w:rFonts w:ascii="黑体" w:cs="Times New Roman" w:eastAsia="黑体" w:hAnsi="黑体" w:hint="eastAsia"/>
          <w:sz w:val="32"/>
          <w:szCs w:val="32"/>
        </w:rPr>
        <w:t>四、施工现场管理</w:t>
      </w:r>
    </w:p>
    <w:p w14:paraId="40C9CDE3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/>
          <w:sz w:val="32"/>
          <w:szCs w:val="32"/>
        </w:rPr>
      </w:pPr>
      <w:r>
        <w:rPr>
          <w:rFonts w:ascii="仿宋_GB2312" w:cs="Times New Roman" w:eastAsia="仿宋_GB2312" w:hAnsi="Times New Roman"/>
          <w:sz w:val="32"/>
          <w:szCs w:val="32"/>
        </w:rPr>
        <w:t>质量控制：全过程质量监督、分部分项验收、材料进场检验、质量问题整改。</w:t>
      </w:r>
    </w:p>
    <w:p w14:paraId="18EC4579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/>
          <w:sz w:val="32"/>
          <w:szCs w:val="32"/>
        </w:rPr>
      </w:pPr>
      <w:r>
        <w:rPr>
          <w:rFonts w:ascii="仿宋_GB2312" w:cs="Times New Roman" w:eastAsia="仿宋_GB2312" w:hAnsi="Times New Roman"/>
          <w:sz w:val="32"/>
          <w:szCs w:val="32"/>
        </w:rPr>
        <w:t>进度控制：编制总进度计划，跟踪关键节点，协调施工、监理、设计单位。</w:t>
      </w:r>
    </w:p>
    <w:p w14:paraId="3B31FBCA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/>
          <w:sz w:val="32"/>
          <w:szCs w:val="32"/>
        </w:rPr>
      </w:pPr>
      <w:r>
        <w:rPr>
          <w:rFonts w:ascii="仿宋_GB2312" w:cs="Times New Roman" w:eastAsia="仿宋_GB2312" w:hAnsi="Times New Roman"/>
          <w:sz w:val="32"/>
          <w:szCs w:val="32"/>
        </w:rPr>
        <w:t>投资控制：严格设计变更、现场签证审核，控制造价超支，初审工程结算。</w:t>
      </w:r>
    </w:p>
    <w:p w14:paraId="07953D24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 w:hint="eastAsia"/>
          <w:strike/>
          <w:sz w:val="32"/>
          <w:szCs w:val="32"/>
        </w:rPr>
      </w:pPr>
      <w:r>
        <w:rPr>
          <w:rFonts w:ascii="仿宋_GB2312" w:cs="Times New Roman" w:eastAsia="仿宋_GB2312" w:hAnsi="Times New Roman"/>
          <w:sz w:val="32"/>
          <w:szCs w:val="32"/>
        </w:rPr>
        <w:t>安全与文明施工：监督安全措施落实，排查隐患，处理安全事故，落实文明施工与环保要求。</w:t>
      </w:r>
      <w:bookmarkStart w:id="0" w:name="_GoBack"/>
    </w:p>
    <w:bookmarkEnd w:id="0"/>
    <w:p w14:paraId="38124A1A">
      <w:pPr>
        <w:pStyle w:val="style0"/>
        <w:spacing w:lineRule="exact" w:line="580"/>
        <w:ind w:firstLine="640" w:firstLineChars="200"/>
        <w:rPr>
          <w:rFonts w:ascii="黑体" w:cs="Times New Roman" w:eastAsia="黑体" w:hAnsi="黑体" w:hint="eastAsia"/>
          <w:sz w:val="32"/>
          <w:szCs w:val="32"/>
        </w:rPr>
      </w:pPr>
      <w:r>
        <w:rPr>
          <w:rFonts w:ascii="黑体" w:cs="Times New Roman" w:eastAsia="黑体" w:hAnsi="黑体" w:hint="eastAsia"/>
          <w:sz w:val="32"/>
          <w:szCs w:val="32"/>
        </w:rPr>
        <w:t>五、验收、移交与保修</w:t>
      </w:r>
    </w:p>
    <w:p w14:paraId="30B1A51B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/>
          <w:sz w:val="32"/>
          <w:szCs w:val="32"/>
        </w:rPr>
      </w:pPr>
      <w:r>
        <w:rPr>
          <w:rFonts w:ascii="仿宋_GB2312" w:cs="Times New Roman" w:eastAsia="仿宋_GB2312" w:hAnsi="Times New Roman"/>
          <w:sz w:val="32"/>
          <w:szCs w:val="32"/>
        </w:rPr>
        <w:t>组织竣工验收、消防验收、人防验收等专项验收，办理竣工备案。</w:t>
      </w:r>
    </w:p>
    <w:p w14:paraId="2A17D899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/>
          <w:sz w:val="32"/>
          <w:szCs w:val="32"/>
        </w:rPr>
      </w:pPr>
      <w:r>
        <w:rPr>
          <w:rFonts w:ascii="仿宋_GB2312" w:cs="Times New Roman" w:eastAsia="仿宋_GB2312" w:hAnsi="Times New Roman"/>
          <w:sz w:val="32"/>
          <w:szCs w:val="32"/>
        </w:rPr>
        <w:t>竣工资料整理归档，向学校档案部门移交完整基建档案。</w:t>
      </w:r>
    </w:p>
    <w:p w14:paraId="1305645F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 w:hint="eastAsia"/>
          <w:sz w:val="32"/>
          <w:szCs w:val="32"/>
        </w:rPr>
      </w:pPr>
      <w:r>
        <w:rPr>
          <w:rFonts w:ascii="仿宋_GB2312" w:cs="Times New Roman" w:eastAsia="仿宋_GB2312" w:hAnsi="Times New Roman"/>
          <w:sz w:val="32"/>
          <w:szCs w:val="32"/>
        </w:rPr>
        <w:t>办理资产移交与入账，对接后勤/使用部门；负责质保期维修与质量投诉处理。</w:t>
      </w:r>
    </w:p>
    <w:p w14:paraId="794015AF">
      <w:pPr>
        <w:pStyle w:val="style0"/>
        <w:spacing w:lineRule="exact" w:line="580"/>
        <w:ind w:firstLine="640" w:firstLineChars="200"/>
        <w:rPr>
          <w:rFonts w:ascii="黑体" w:cs="Times New Roman" w:eastAsia="黑体" w:hAnsi="黑体" w:hint="eastAsia"/>
          <w:sz w:val="32"/>
          <w:szCs w:val="32"/>
        </w:rPr>
      </w:pPr>
      <w:r>
        <w:rPr>
          <w:rFonts w:ascii="黑体" w:cs="Times New Roman" w:eastAsia="黑体" w:hAnsi="黑体" w:hint="eastAsia"/>
          <w:sz w:val="32"/>
          <w:szCs w:val="32"/>
        </w:rPr>
        <w:t>六、档案、统计与后评价</w:t>
      </w:r>
    </w:p>
    <w:p w14:paraId="2A8CCA25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/>
          <w:sz w:val="32"/>
          <w:szCs w:val="32"/>
        </w:rPr>
      </w:pPr>
      <w:r>
        <w:rPr>
          <w:rFonts w:ascii="仿宋_GB2312" w:cs="Times New Roman" w:eastAsia="仿宋_GB2312" w:hAnsi="Times New Roman"/>
          <w:sz w:val="32"/>
          <w:szCs w:val="32"/>
        </w:rPr>
        <w:t>收集、整理、归档项目全周期资料（前期、设计、施工、监理、竣工图等）。</w:t>
      </w:r>
    </w:p>
    <w:p w14:paraId="7633B2BF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/>
          <w:sz w:val="32"/>
          <w:szCs w:val="32"/>
        </w:rPr>
      </w:pPr>
      <w:r>
        <w:rPr>
          <w:rFonts w:ascii="仿宋_GB2312" w:cs="Times New Roman" w:eastAsia="仿宋_GB2312" w:hAnsi="Times New Roman"/>
          <w:sz w:val="32"/>
          <w:szCs w:val="32"/>
        </w:rPr>
        <w:t>基建数据统计、报表上报，配合审计、巡视检查。</w:t>
      </w:r>
    </w:p>
    <w:p w14:paraId="6DF6D65C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 w:hint="eastAsia"/>
          <w:sz w:val="32"/>
          <w:szCs w:val="32"/>
        </w:rPr>
      </w:pPr>
      <w:r>
        <w:rPr>
          <w:rFonts w:ascii="仿宋_GB2312" w:cs="Times New Roman" w:eastAsia="仿宋_GB2312" w:hAnsi="Times New Roman"/>
          <w:sz w:val="32"/>
          <w:szCs w:val="32"/>
        </w:rPr>
        <w:t>组织项目后评价，总结经验，优化后续建设。</w:t>
      </w:r>
    </w:p>
    <w:p w14:paraId="2AA17587">
      <w:pPr>
        <w:pStyle w:val="style0"/>
        <w:spacing w:lineRule="exact" w:line="580"/>
        <w:ind w:firstLine="640" w:firstLineChars="200"/>
        <w:rPr>
          <w:rFonts w:ascii="黑体" w:cs="Times New Roman" w:eastAsia="黑体" w:hAnsi="黑体" w:hint="eastAsia"/>
          <w:sz w:val="32"/>
          <w:szCs w:val="32"/>
        </w:rPr>
      </w:pPr>
      <w:r>
        <w:rPr>
          <w:rFonts w:ascii="黑体" w:cs="Times New Roman" w:eastAsia="黑体" w:hAnsi="黑体" w:hint="eastAsia"/>
          <w:sz w:val="32"/>
          <w:szCs w:val="32"/>
        </w:rPr>
        <w:t>七、廉政与内控</w:t>
      </w:r>
    </w:p>
    <w:p w14:paraId="0F26760A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/>
          <w:sz w:val="32"/>
          <w:szCs w:val="32"/>
        </w:rPr>
      </w:pPr>
      <w:r>
        <w:rPr>
          <w:rFonts w:ascii="仿宋_GB2312" w:cs="Times New Roman" w:eastAsia="仿宋_GB2312" w:hAnsi="Times New Roman"/>
          <w:sz w:val="32"/>
          <w:szCs w:val="32"/>
        </w:rPr>
        <w:t>落实廉政责任制，防控招投标、合同、变更、结算等环节风险。</w:t>
      </w:r>
    </w:p>
    <w:p w14:paraId="628049C9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 w:hint="eastAsia"/>
          <w:sz w:val="32"/>
          <w:szCs w:val="32"/>
        </w:rPr>
      </w:pPr>
      <w:r>
        <w:rPr>
          <w:rFonts w:ascii="仿宋_GB2312" w:cs="Times New Roman" w:eastAsia="仿宋_GB2312" w:hAnsi="Times New Roman"/>
          <w:sz w:val="32"/>
          <w:szCs w:val="32"/>
        </w:rPr>
        <w:t>推进内控与全过程监督，配合纪检、审计开展工作。</w:t>
      </w:r>
    </w:p>
    <w:p w14:paraId="615D0E61">
      <w:pPr>
        <w:pStyle w:val="style0"/>
        <w:spacing w:lineRule="exact" w:line="580"/>
        <w:ind w:firstLine="640" w:firstLineChars="200"/>
        <w:rPr>
          <w:rFonts w:ascii="黑体" w:cs="Times New Roman" w:eastAsia="黑体" w:hAnsi="黑体" w:hint="eastAsia"/>
          <w:sz w:val="32"/>
          <w:szCs w:val="32"/>
        </w:rPr>
      </w:pPr>
      <w:r>
        <w:rPr>
          <w:rFonts w:ascii="黑体" w:cs="Times New Roman" w:eastAsia="黑体" w:hAnsi="黑体" w:hint="eastAsia"/>
          <w:sz w:val="32"/>
          <w:szCs w:val="32"/>
        </w:rPr>
        <w:t>八、其他</w:t>
      </w:r>
    </w:p>
    <w:p w14:paraId="49FD9C25">
      <w:pPr>
        <w:pStyle w:val="style0"/>
        <w:spacing w:lineRule="exact" w:line="580"/>
        <w:ind w:firstLine="640" w:firstLineChars="200"/>
        <w:rPr>
          <w:rFonts w:ascii="仿宋_GB2312" w:cs="Times New Roman" w:eastAsia="仿宋_GB2312" w:hAnsi="Times New Roman"/>
          <w:sz w:val="32"/>
          <w:szCs w:val="32"/>
        </w:rPr>
      </w:pPr>
      <w:r>
        <w:rPr>
          <w:rFonts w:ascii="仿宋_GB2312" w:cs="Times New Roman" w:eastAsia="仿宋_GB2312" w:hAnsi="Times New Roman"/>
          <w:sz w:val="32"/>
          <w:szCs w:val="32"/>
        </w:rPr>
        <w:t>学校交办的临时基建任务（应急修缮、专项改造等）。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方正小标宋简体"/>
    <w:panose1 w:val="020106010300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_GB2312"/>
    <w:panose1 w:val="020106090300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0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等线" w:cs="宋体" w:eastAsia="等线" w:hAnsi="等线"/>
      <w:kern w:val="2"/>
      <w:sz w:val="21"/>
      <w:szCs w:val="22"/>
    </w:rPr>
  </w:style>
  <w:style w:type="paragraph" w:styleId="style1">
    <w:name w:val="heading 1"/>
    <w:basedOn w:val="style0"/>
    <w:next w:val="style0"/>
    <w:link w:val="style4098"/>
    <w:qFormat/>
    <w:uiPriority w:val="9"/>
    <w:pPr>
      <w:keepNext/>
      <w:keepLines/>
      <w:spacing w:before="480" w:after="80"/>
      <w:outlineLvl w:val="0"/>
    </w:pPr>
    <w:rPr>
      <w:rFonts w:ascii="等线 Light" w:cs="宋体" w:eastAsia="等线 Light" w:hAnsi="等线 Light"/>
      <w:color w:val="2f5496"/>
      <w:sz w:val="48"/>
      <w:szCs w:val="48"/>
    </w:rPr>
  </w:style>
  <w:style w:type="paragraph" w:styleId="style2">
    <w:name w:val="heading 2"/>
    <w:basedOn w:val="style0"/>
    <w:next w:val="style0"/>
    <w:link w:val="style4099"/>
    <w:qFormat/>
    <w:uiPriority w:val="9"/>
    <w:pPr>
      <w:keepNext/>
      <w:keepLines/>
      <w:spacing w:before="160" w:after="80"/>
      <w:outlineLvl w:val="1"/>
    </w:pPr>
    <w:rPr>
      <w:rFonts w:ascii="等线 Light" w:cs="宋体" w:eastAsia="等线 Light" w:hAnsi="等线 Light"/>
      <w:color w:val="2f5496"/>
      <w:sz w:val="40"/>
      <w:szCs w:val="40"/>
    </w:rPr>
  </w:style>
  <w:style w:type="paragraph" w:styleId="style3">
    <w:name w:val="heading 3"/>
    <w:basedOn w:val="style0"/>
    <w:next w:val="style0"/>
    <w:link w:val="style4100"/>
    <w:qFormat/>
    <w:uiPriority w:val="9"/>
    <w:pPr>
      <w:keepNext/>
      <w:keepLines/>
      <w:spacing w:before="160" w:after="80"/>
      <w:outlineLvl w:val="2"/>
    </w:pPr>
    <w:rPr>
      <w:rFonts w:ascii="等线 Light" w:cs="宋体" w:eastAsia="等线 Light" w:hAnsi="等线 Light"/>
      <w:color w:val="2f5496"/>
      <w:sz w:val="32"/>
      <w:szCs w:val="32"/>
    </w:rPr>
  </w:style>
  <w:style w:type="paragraph" w:styleId="style4">
    <w:name w:val="heading 4"/>
    <w:basedOn w:val="style0"/>
    <w:next w:val="style0"/>
    <w:link w:val="style4101"/>
    <w:qFormat/>
    <w:uiPriority w:val="9"/>
    <w:pPr>
      <w:keepNext/>
      <w:keepLines/>
      <w:spacing w:before="80" w:after="40"/>
      <w:outlineLvl w:val="3"/>
    </w:pPr>
    <w:rPr>
      <w:rFonts w:cs="宋体"/>
      <w:color w:val="2f5496"/>
      <w:sz w:val="28"/>
      <w:szCs w:val="28"/>
    </w:rPr>
  </w:style>
  <w:style w:type="paragraph" w:styleId="style5">
    <w:name w:val="heading 5"/>
    <w:basedOn w:val="style0"/>
    <w:next w:val="style0"/>
    <w:link w:val="style4102"/>
    <w:qFormat/>
    <w:uiPriority w:val="9"/>
    <w:pPr>
      <w:keepNext/>
      <w:keepLines/>
      <w:spacing w:before="80" w:after="40"/>
      <w:outlineLvl w:val="4"/>
    </w:pPr>
    <w:rPr>
      <w:rFonts w:cs="宋体"/>
      <w:color w:val="2f5496"/>
      <w:sz w:val="24"/>
      <w:szCs w:val="24"/>
    </w:rPr>
  </w:style>
  <w:style w:type="paragraph" w:styleId="style6">
    <w:name w:val="heading 6"/>
    <w:basedOn w:val="style0"/>
    <w:next w:val="style0"/>
    <w:link w:val="style4103"/>
    <w:qFormat/>
    <w:uiPriority w:val="9"/>
    <w:pPr>
      <w:keepNext/>
      <w:keepLines/>
      <w:spacing w:before="40"/>
      <w:outlineLvl w:val="5"/>
    </w:pPr>
    <w:rPr>
      <w:rFonts w:cs="宋体"/>
      <w:b/>
      <w:bCs/>
      <w:color w:val="2f5496"/>
    </w:rPr>
  </w:style>
  <w:style w:type="paragraph" w:styleId="style7">
    <w:name w:val="heading 7"/>
    <w:basedOn w:val="style0"/>
    <w:next w:val="style0"/>
    <w:link w:val="style4104"/>
    <w:qFormat/>
    <w:uiPriority w:val="9"/>
    <w:pPr>
      <w:keepNext/>
      <w:keepLines/>
      <w:spacing w:before="40"/>
      <w:outlineLvl w:val="6"/>
    </w:pPr>
    <w:rPr>
      <w:rFonts w:cs="宋体"/>
      <w:b/>
      <w:bCs/>
      <w:color w:val="595959"/>
    </w:rPr>
  </w:style>
  <w:style w:type="paragraph" w:styleId="style8">
    <w:name w:val="heading 8"/>
    <w:basedOn w:val="style0"/>
    <w:next w:val="style0"/>
    <w:link w:val="style4105"/>
    <w:qFormat/>
    <w:uiPriority w:val="9"/>
    <w:pPr>
      <w:keepNext/>
      <w:keepLines/>
      <w:outlineLvl w:val="7"/>
    </w:pPr>
    <w:rPr>
      <w:rFonts w:cs="宋体"/>
      <w:color w:val="595959"/>
    </w:rPr>
  </w:style>
  <w:style w:type="paragraph" w:styleId="style9">
    <w:name w:val="heading 9"/>
    <w:basedOn w:val="style0"/>
    <w:next w:val="style0"/>
    <w:link w:val="style4106"/>
    <w:qFormat/>
    <w:uiPriority w:val="9"/>
    <w:pPr>
      <w:keepNext/>
      <w:keepLines/>
      <w:outlineLvl w:val="8"/>
    </w:pPr>
    <w:rPr>
      <w:rFonts w:cs="宋体" w:eastAsia="等线 Light"/>
      <w:color w:val="595959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74">
    <w:name w:val="Subtitle"/>
    <w:basedOn w:val="style0"/>
    <w:next w:val="style0"/>
    <w:link w:val="style4108"/>
    <w:qFormat/>
    <w:uiPriority w:val="11"/>
    <w:pPr>
      <w:spacing w:after="160"/>
      <w:jc w:val="center"/>
    </w:pPr>
    <w:rPr>
      <w:rFonts w:ascii="等线 Light" w:cs="宋体" w:eastAsia="等线 Light" w:hAnsi="等线 Light"/>
      <w:color w:val="595959"/>
      <w:spacing w:val="15"/>
      <w:sz w:val="28"/>
      <w:szCs w:val="28"/>
    </w:rPr>
  </w:style>
  <w:style w:type="paragraph" w:styleId="style35">
    <w:name w:val="table of figures"/>
    <w:basedOn w:val="style0"/>
    <w:next w:val="style0"/>
    <w:qFormat/>
    <w:uiPriority w:val="99"/>
    <w:pPr>
      <w:spacing w:lineRule="auto" w:line="300"/>
      <w:ind w:left="480" w:hanging="480"/>
      <w:jc w:val="left"/>
    </w:pPr>
    <w:rPr>
      <w:rFonts w:cs="等线"/>
      <w:smallCaps/>
      <w:sz w:val="20"/>
      <w:szCs w:val="20"/>
    </w:rPr>
  </w:style>
  <w:style w:type="paragraph" w:styleId="style94">
    <w:name w:val="Normal (Web)"/>
    <w:basedOn w:val="style0"/>
    <w:next w:val="style94"/>
    <w:uiPriority w:val="99"/>
    <w:pPr/>
    <w:rPr>
      <w:sz w:val="24"/>
    </w:rPr>
  </w:style>
  <w:style w:type="paragraph" w:styleId="style62">
    <w:name w:val="Title"/>
    <w:basedOn w:val="style0"/>
    <w:next w:val="style0"/>
    <w:link w:val="style4107"/>
    <w:qFormat/>
    <w:uiPriority w:val="10"/>
    <w:pPr>
      <w:spacing w:after="80"/>
      <w:jc w:val="center"/>
      <w:contextualSpacing/>
    </w:pPr>
    <w:rPr>
      <w:rFonts w:ascii="等线 Light" w:cs="宋体" w:eastAsia="等线 Light" w:hAnsi="等线 Light"/>
      <w:spacing w:val="-10"/>
      <w:kern w:val="28"/>
      <w:sz w:val="56"/>
      <w:szCs w:val="56"/>
    </w:rPr>
  </w:style>
  <w:style w:type="table" w:customStyle="1" w:styleId="style4097">
    <w:name w:val="三线表"/>
    <w:basedOn w:val="style105"/>
    <w:next w:val="style4097"/>
    <w:qFormat/>
    <w:uiPriority w:val="99"/>
    <w:pPr>
      <w:jc w:val="center"/>
      <w:textAlignment w:val="center"/>
    </w:pPr>
    <w:rPr/>
    <w:tblPr>
      <w:tblBorders>
        <w:top w:val="single" w:sz="8" w:space="0" w:color="000000"/>
        <w:bottom w:val="single" w:sz="8" w:space="0" w:color="000000"/>
      </w:tblBorders>
    </w:tblPr>
    <w:tblStylePr w:type="firstRow">
      <w:pPr/>
      <w:tblPr/>
      <w:tcPr>
        <w:tcBorders>
          <w:tl2br w:val="nil"/>
          <w:tr2bl w:val="nil"/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</w:tcBorders>
      </w:tcPr>
    </w:tblStylePr>
    <w:tcPr>
      <w:tcBorders/>
      <w:vAlign w:val="center"/>
    </w:tcPr>
  </w:style>
  <w:style w:type="character" w:customStyle="1" w:styleId="style4098">
    <w:name w:val="标题 1 字符"/>
    <w:basedOn w:val="style65"/>
    <w:next w:val="style4098"/>
    <w:link w:val="style1"/>
    <w:uiPriority w:val="9"/>
    <w:rPr>
      <w:rFonts w:ascii="等线 Light" w:cs="宋体" w:eastAsia="等线 Light" w:hAnsi="等线 Light"/>
      <w:color w:val="2f5496"/>
      <w:sz w:val="48"/>
      <w:szCs w:val="48"/>
    </w:rPr>
  </w:style>
  <w:style w:type="character" w:customStyle="1" w:styleId="style4099">
    <w:name w:val="标题 2 字符"/>
    <w:basedOn w:val="style65"/>
    <w:next w:val="style4099"/>
    <w:link w:val="style2"/>
    <w:qFormat/>
    <w:uiPriority w:val="9"/>
    <w:rPr>
      <w:rFonts w:ascii="等线 Light" w:cs="宋体" w:eastAsia="等线 Light" w:hAnsi="等线 Light"/>
      <w:color w:val="2f5496"/>
      <w:sz w:val="40"/>
      <w:szCs w:val="40"/>
    </w:rPr>
  </w:style>
  <w:style w:type="character" w:customStyle="1" w:styleId="style4100">
    <w:name w:val="标题 3 字符"/>
    <w:basedOn w:val="style65"/>
    <w:next w:val="style4100"/>
    <w:link w:val="style3"/>
    <w:qFormat/>
    <w:uiPriority w:val="9"/>
    <w:rPr>
      <w:rFonts w:ascii="等线 Light" w:cs="宋体" w:eastAsia="等线 Light" w:hAnsi="等线 Light"/>
      <w:color w:val="2f5496"/>
      <w:sz w:val="32"/>
      <w:szCs w:val="32"/>
    </w:rPr>
  </w:style>
  <w:style w:type="character" w:customStyle="1" w:styleId="style4101">
    <w:name w:val="标题 4 字符"/>
    <w:basedOn w:val="style65"/>
    <w:next w:val="style4101"/>
    <w:link w:val="style4"/>
    <w:qFormat/>
    <w:uiPriority w:val="9"/>
    <w:rPr>
      <w:rFonts w:cs="宋体"/>
      <w:color w:val="2f5496"/>
      <w:sz w:val="28"/>
      <w:szCs w:val="28"/>
    </w:rPr>
  </w:style>
  <w:style w:type="character" w:customStyle="1" w:styleId="style4102">
    <w:name w:val="标题 5 字符"/>
    <w:basedOn w:val="style65"/>
    <w:next w:val="style4102"/>
    <w:link w:val="style5"/>
    <w:uiPriority w:val="9"/>
    <w:rPr>
      <w:rFonts w:cs="宋体"/>
      <w:color w:val="2f5496"/>
      <w:sz w:val="24"/>
      <w:szCs w:val="24"/>
    </w:rPr>
  </w:style>
  <w:style w:type="character" w:customStyle="1" w:styleId="style4103">
    <w:name w:val="标题 6 字符"/>
    <w:basedOn w:val="style65"/>
    <w:next w:val="style4103"/>
    <w:link w:val="style6"/>
    <w:uiPriority w:val="9"/>
    <w:rPr>
      <w:rFonts w:cs="宋体"/>
      <w:b/>
      <w:bCs/>
      <w:color w:val="2f5496"/>
    </w:rPr>
  </w:style>
  <w:style w:type="character" w:customStyle="1" w:styleId="style4104">
    <w:name w:val="标题 7 字符"/>
    <w:basedOn w:val="style65"/>
    <w:next w:val="style4104"/>
    <w:link w:val="style7"/>
    <w:uiPriority w:val="9"/>
    <w:rPr>
      <w:rFonts w:cs="宋体"/>
      <w:b/>
      <w:bCs/>
      <w:color w:val="595959"/>
    </w:rPr>
  </w:style>
  <w:style w:type="character" w:customStyle="1" w:styleId="style4105">
    <w:name w:val="标题 8 字符"/>
    <w:basedOn w:val="style65"/>
    <w:next w:val="style4105"/>
    <w:link w:val="style8"/>
    <w:uiPriority w:val="9"/>
    <w:rPr>
      <w:rFonts w:cs="宋体"/>
      <w:color w:val="595959"/>
    </w:rPr>
  </w:style>
  <w:style w:type="character" w:customStyle="1" w:styleId="style4106">
    <w:name w:val="标题 9 字符"/>
    <w:basedOn w:val="style65"/>
    <w:next w:val="style4106"/>
    <w:link w:val="style9"/>
    <w:uiPriority w:val="9"/>
    <w:rPr>
      <w:rFonts w:cs="宋体" w:eastAsia="等线 Light"/>
      <w:color w:val="595959"/>
    </w:rPr>
  </w:style>
  <w:style w:type="character" w:customStyle="1" w:styleId="style4107">
    <w:name w:val="标题 字符"/>
    <w:basedOn w:val="style65"/>
    <w:next w:val="style4107"/>
    <w:link w:val="style62"/>
    <w:uiPriority w:val="10"/>
    <w:rPr>
      <w:rFonts w:ascii="等线 Light" w:cs="宋体" w:eastAsia="等线 Light" w:hAnsi="等线 Light"/>
      <w:spacing w:val="-10"/>
      <w:kern w:val="28"/>
      <w:sz w:val="56"/>
      <w:szCs w:val="56"/>
    </w:rPr>
  </w:style>
  <w:style w:type="character" w:customStyle="1" w:styleId="style4108">
    <w:name w:val="副标题 字符"/>
    <w:basedOn w:val="style65"/>
    <w:next w:val="style4108"/>
    <w:link w:val="style74"/>
    <w:uiPriority w:val="11"/>
    <w:rPr>
      <w:rFonts w:ascii="等线 Light" w:cs="宋体" w:eastAsia="等线 Light" w:hAnsi="等线 Light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9"/>
    <w:qFormat/>
    <w:uiPriority w:val="29"/>
    <w:pPr>
      <w:spacing w:before="160" w:after="160"/>
      <w:jc w:val="center"/>
    </w:pPr>
    <w:rPr>
      <w:i/>
      <w:iCs/>
      <w:color w:val="404040"/>
    </w:rPr>
  </w:style>
  <w:style w:type="character" w:customStyle="1" w:styleId="style4109">
    <w:name w:val="引用 字符"/>
    <w:basedOn w:val="style65"/>
    <w:next w:val="style4109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110">
    <w:name w:val="明显强调1"/>
    <w:basedOn w:val="style65"/>
    <w:next w:val="style4110"/>
    <w:qFormat/>
    <w:uiPriority w:val="21"/>
    <w:rPr>
      <w:i/>
      <w:iCs/>
      <w:color w:val="2f5496"/>
    </w:rPr>
  </w:style>
  <w:style w:type="paragraph" w:styleId="style181">
    <w:name w:val="Intense Quote"/>
    <w:basedOn w:val="style0"/>
    <w:next w:val="style0"/>
    <w:link w:val="style4111"/>
    <w:qFormat/>
    <w:uiPriority w:val="3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style4111">
    <w:name w:val="明显引用 字符"/>
    <w:basedOn w:val="style65"/>
    <w:next w:val="style4111"/>
    <w:link w:val="style181"/>
    <w:uiPriority w:val="30"/>
    <w:rPr>
      <w:i/>
      <w:iCs/>
      <w:color w:val="2f5496"/>
    </w:rPr>
  </w:style>
  <w:style w:type="character" w:customStyle="1" w:styleId="style4112">
    <w:name w:val="明显参考1"/>
    <w:basedOn w:val="style65"/>
    <w:next w:val="style4112"/>
    <w:qFormat/>
    <w:uiPriority w:val="32"/>
    <w:rPr>
      <w:b/>
      <w:bCs/>
      <w:smallCaps/>
      <w:color w:val="2f5496"/>
      <w:spacing w:val="5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862</Words>
  <Pages>3</Pages>
  <Characters>862</Characters>
  <Application>WPS Office</Application>
  <DocSecurity>0</DocSecurity>
  <Paragraphs>33</Paragraphs>
  <ScaleCrop>false</ScaleCrop>
  <LinksUpToDate>false</LinksUpToDate>
  <CharactersWithSpaces>863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2026-05-29T06:28:00Z</dcterms:created>
  <dc:creator>勇 梁</dc:creator>
  <lastModifiedBy>22041216C</lastModifiedBy>
  <lastPrinted>2026-03-25T02:13:00Z</lastPrinted>
  <dcterms:modified xsi:type="dcterms:W3CDTF">2026-05-29T06:30:35Z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eyJoZGlkIjoiYTVhYWI0YmYzYmE3NDg2NGQyMzNjZjkzZjViMzg1ZGMiLCJ1c2VySWQiOiIzMzczMzI0NjMifQ==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3B1D2E85337B47EC89BE8B87FB845DFA_12</vt:lpwstr>
  </property>
</Properties>
</file>